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0A" w:rsidRDefault="00705D0A" w:rsidP="00705D0A">
      <w:pPr>
        <w:pStyle w:val="NoSpacing"/>
      </w:pPr>
      <w:r>
        <w:t xml:space="preserve">July 13, 2020 </w:t>
      </w:r>
    </w:p>
    <w:p w:rsidR="00705D0A" w:rsidRPr="00E8056D" w:rsidRDefault="00705D0A" w:rsidP="00705D0A">
      <w:pPr>
        <w:pStyle w:val="NoSpacing"/>
        <w:rPr>
          <w:rFonts w:cs="Estrangelo Edessa"/>
          <w:b/>
          <w:iCs/>
        </w:rPr>
      </w:pPr>
      <w:r w:rsidRPr="002A7232">
        <w:t>The Galva City Council met in regular session on the above date with Mayor</w:t>
      </w:r>
      <w:r>
        <w:t xml:space="preserve"> </w:t>
      </w:r>
      <w:proofErr w:type="spellStart"/>
      <w:r>
        <w:t>Nading</w:t>
      </w:r>
      <w:proofErr w:type="spellEnd"/>
      <w:r>
        <w:t xml:space="preserve"> </w:t>
      </w:r>
      <w:r w:rsidRPr="002A7232">
        <w:t>pres</w:t>
      </w:r>
      <w:r>
        <w:t>iding.  Council members present:</w:t>
      </w:r>
      <w:r w:rsidRPr="00983494">
        <w:t xml:space="preserve"> </w:t>
      </w:r>
      <w:proofErr w:type="spellStart"/>
      <w:r>
        <w:t>Brosamle</w:t>
      </w:r>
      <w:proofErr w:type="spellEnd"/>
      <w:r>
        <w:t>, Cunningham</w:t>
      </w:r>
      <w:r w:rsidRPr="002A7232">
        <w:t xml:space="preserve"> </w:t>
      </w:r>
      <w:r>
        <w:t xml:space="preserve">Freese, </w:t>
      </w:r>
      <w:r w:rsidRPr="002A7232">
        <w:t>Wiese</w:t>
      </w:r>
      <w:r>
        <w:t xml:space="preserve">, </w:t>
      </w:r>
      <w:proofErr w:type="spellStart"/>
      <w:r>
        <w:t>Wuebker</w:t>
      </w:r>
      <w:proofErr w:type="spellEnd"/>
      <w:r>
        <w:t>. Absent: none.</w:t>
      </w:r>
    </w:p>
    <w:p w:rsidR="00705D0A" w:rsidRPr="002A7232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William Lindquist</w:t>
      </w:r>
    </w:p>
    <w:p w:rsidR="00705D0A" w:rsidRPr="002A7232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Cunningham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705D0A" w:rsidRPr="002A7232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05D0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Cunningham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6-8-2020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Library Board Minutes, d. Allow Bills Presented. </w:t>
      </w:r>
    </w:p>
    <w:tbl>
      <w:tblPr>
        <w:tblW w:w="7704" w:type="dxa"/>
        <w:tblInd w:w="96" w:type="dxa"/>
        <w:tblLook w:val="04A0"/>
      </w:tblPr>
      <w:tblGrid>
        <w:gridCol w:w="2118"/>
        <w:gridCol w:w="1925"/>
        <w:gridCol w:w="4674"/>
        <w:gridCol w:w="763"/>
      </w:tblGrid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7/13/2020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AMOUNT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195.80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137.18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4,301.10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COUNCIL BLUFFS 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WEBSITE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1,997.80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WW  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170.48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 BILLING MODULE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GREENE PLUMBING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REPAIRS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4,043.10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HOLSTEIN ELECTRIC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WW SERVICE CALL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RESIDENTIAL CONTRACT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9,804.00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IDNR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 WATER SUPPLY FEE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49.56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IOWA LEAGUE OF CITIES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461.00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1,204.60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MAGUIRE IRON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TOWER INSPECTION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1,830.00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MANGOLD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86.53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1,343.23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PATRICIA NIEMEIER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REIMBURSE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16.97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REIBURSE CLASS FEE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OFFICE SUPPLIES/SUPPLIES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444.38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RC COMMUNICATIONS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SIREN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797.83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RESOURCE MATE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 AUTOMATION FEE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CLASS FEE - LIBRARY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SCHALLER TELEPHONE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39.10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SIMPCO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770.80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STEVENSON HARDWARE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47.05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TR. STATE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2ND QTR W/H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1,018.00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1,537.00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WALMART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66.98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LIBRARY SUMMER PROGRAM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338.17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2,861.10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595.00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2,448.96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442.68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118.56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659.55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TRISH NIEMEIER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958.32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234.60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98.80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</w:t>
            </w:r>
            <w:r w:rsidRPr="00D726E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39,878.59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tabs>
                <w:tab w:val="decimal" w:pos="64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5D0A" w:rsidRPr="00D726E6" w:rsidTr="00432CC6">
        <w:trPr>
          <w:trHeight w:val="2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0A" w:rsidRPr="00D726E6" w:rsidRDefault="00705D0A" w:rsidP="00432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5D0A" w:rsidRPr="00E300FE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2859.05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1882.55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25.67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3939.27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110.08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9061.98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6270.24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4041.30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0.00.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8515.73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200.00;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2136.15;</w:t>
      </w:r>
      <w:r w:rsidRPr="00E300FE">
        <w:rPr>
          <w:rFonts w:ascii="Verdana" w:hAnsi="Verdana" w:cs="Gautami"/>
          <w:sz w:val="16"/>
          <w:szCs w:val="16"/>
        </w:rPr>
        <w:t xml:space="preserve"> WATER FUND – </w:t>
      </w:r>
      <w:r>
        <w:rPr>
          <w:rFonts w:ascii="Verdana" w:hAnsi="Verdana" w:cs="Gautami"/>
          <w:sz w:val="16"/>
          <w:szCs w:val="16"/>
        </w:rPr>
        <w:t>13911.22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3001.94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10551.80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622.50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D76108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</w:t>
      </w:r>
      <w:proofErr w:type="spellStart"/>
      <w:r>
        <w:rPr>
          <w:rFonts w:ascii="Verdana" w:hAnsi="Verdana" w:cs="Gautami"/>
          <w:sz w:val="16"/>
          <w:szCs w:val="16"/>
        </w:rPr>
        <w:t>Harrimann</w:t>
      </w:r>
      <w:proofErr w:type="spellEnd"/>
      <w:r>
        <w:rPr>
          <w:rFonts w:ascii="Verdana" w:hAnsi="Verdana" w:cs="Gautami"/>
          <w:sz w:val="16"/>
          <w:szCs w:val="16"/>
        </w:rPr>
        <w:t xml:space="preserve"> did not attend the council meeting.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Pr="00FD3A6F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7F2CD0">
        <w:rPr>
          <w:rFonts w:ascii="Verdana" w:hAnsi="Verdana" w:cs="Gautami"/>
          <w:b/>
          <w:sz w:val="16"/>
          <w:szCs w:val="16"/>
        </w:rPr>
        <w:t xml:space="preserve">WASTEWATER PROJECT – </w:t>
      </w:r>
      <w:r w:rsidRPr="00FD3A6F">
        <w:rPr>
          <w:rFonts w:ascii="Verdana" w:hAnsi="Verdana" w:cs="Gautami"/>
          <w:sz w:val="16"/>
          <w:szCs w:val="16"/>
        </w:rPr>
        <w:t xml:space="preserve">Following discussion </w:t>
      </w:r>
      <w:r>
        <w:rPr>
          <w:rFonts w:ascii="Verdana" w:hAnsi="Verdana" w:cs="Gautami"/>
          <w:sz w:val="16"/>
          <w:szCs w:val="16"/>
        </w:rPr>
        <w:t xml:space="preserve">motion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second by Wiese, </w:t>
      </w:r>
      <w:r w:rsidRPr="00FD3A6F">
        <w:rPr>
          <w:rFonts w:ascii="Verdana" w:hAnsi="Verdana" w:cs="Gautami"/>
          <w:sz w:val="16"/>
          <w:szCs w:val="16"/>
        </w:rPr>
        <w:t xml:space="preserve">the State Revolving Fund and EPA paperwork was tabled until more information is obtained.  </w:t>
      </w:r>
      <w:proofErr w:type="gramStart"/>
      <w:r w:rsidRPr="00FD3A6F">
        <w:rPr>
          <w:rFonts w:ascii="Verdana" w:hAnsi="Verdana" w:cs="Gautami"/>
          <w:sz w:val="16"/>
          <w:szCs w:val="16"/>
        </w:rPr>
        <w:t xml:space="preserve">All </w:t>
      </w:r>
      <w:proofErr w:type="spellStart"/>
      <w:r w:rsidRPr="00FD3A6F">
        <w:rPr>
          <w:rFonts w:ascii="Verdana" w:hAnsi="Verdana" w:cs="Gautami"/>
          <w:sz w:val="16"/>
          <w:szCs w:val="16"/>
        </w:rPr>
        <w:t>ayes</w:t>
      </w:r>
      <w:proofErr w:type="spellEnd"/>
      <w:r w:rsidRPr="00FD3A6F">
        <w:rPr>
          <w:rFonts w:ascii="Verdana" w:hAnsi="Verdana" w:cs="Gautami"/>
          <w:sz w:val="16"/>
          <w:szCs w:val="16"/>
        </w:rPr>
        <w:t>.</w:t>
      </w:r>
      <w:proofErr w:type="gramEnd"/>
      <w:r w:rsidRPr="00FD3A6F">
        <w:rPr>
          <w:rFonts w:ascii="Verdana" w:hAnsi="Verdana" w:cs="Gautami"/>
          <w:sz w:val="16"/>
          <w:szCs w:val="16"/>
        </w:rPr>
        <w:t xml:space="preserve">  Motion carried.</w:t>
      </w:r>
      <w:r>
        <w:rPr>
          <w:rFonts w:ascii="Verdana" w:hAnsi="Verdana" w:cs="Gautami"/>
          <w:sz w:val="16"/>
          <w:szCs w:val="16"/>
        </w:rPr>
        <w:t xml:space="preserve">  It was determined a special meeting would try to be scheduled with the engineer and the property owners to discuss the wastewater plant upgrade.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7F2CD0">
        <w:rPr>
          <w:rFonts w:ascii="Verdana" w:hAnsi="Verdana" w:cs="Gautami"/>
          <w:b/>
          <w:sz w:val="16"/>
          <w:szCs w:val="16"/>
        </w:rPr>
        <w:t xml:space="preserve">SOUTH VIEW LOTS </w:t>
      </w:r>
      <w:r>
        <w:rPr>
          <w:rFonts w:ascii="Verdana" w:hAnsi="Verdana" w:cs="Gautami"/>
          <w:b/>
          <w:sz w:val="16"/>
          <w:szCs w:val="16"/>
        </w:rPr>
        <w:t>3</w:t>
      </w:r>
      <w:r>
        <w:rPr>
          <w:rFonts w:ascii="Verdana" w:hAnsi="Verdana" w:cs="Gautami"/>
          <w:sz w:val="16"/>
          <w:szCs w:val="16"/>
        </w:rPr>
        <w:t xml:space="preserve"> – William Lindquist talked with the council about purchasing the lot west of his residence.  Following discussion it was determined the lot should be sold for a house.  Therefore the lot will not be sold to Mr. Lindquist.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7C5D5A">
        <w:rPr>
          <w:rFonts w:ascii="Verdana" w:hAnsi="Verdana" w:cs="Gautami"/>
          <w:b/>
          <w:sz w:val="16"/>
          <w:szCs w:val="16"/>
        </w:rPr>
        <w:t>AMEND CODE OF ORDINANCES – FENCES</w:t>
      </w:r>
      <w:r>
        <w:rPr>
          <w:rFonts w:ascii="Verdana" w:hAnsi="Verdana" w:cs="Gautami"/>
          <w:sz w:val="16"/>
          <w:szCs w:val="16"/>
        </w:rPr>
        <w:t xml:space="preserve"> – The council discussed amending the current fence requirements in the City of Galva’s Code of ordinances.  More discussion will be held at the next council meeting.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7C5D5A">
        <w:rPr>
          <w:rFonts w:ascii="Verdana" w:hAnsi="Verdana" w:cs="Gautami"/>
          <w:b/>
          <w:sz w:val="16"/>
          <w:szCs w:val="16"/>
        </w:rPr>
        <w:t>BUDGETARY TRANSFER – EMERGENCY FUND TO GENERAL FUND</w:t>
      </w:r>
      <w:r>
        <w:rPr>
          <w:rFonts w:ascii="Verdana" w:hAnsi="Verdana" w:cs="Gautami"/>
          <w:b/>
          <w:sz w:val="16"/>
          <w:szCs w:val="16"/>
        </w:rPr>
        <w:t>, LOCAL OPTION FUND TO EQUIPMENT FUND &amp; TRUST &amp; AGENCY TO GENERAL FUND</w:t>
      </w:r>
      <w:r>
        <w:rPr>
          <w:rFonts w:ascii="Verdana" w:hAnsi="Verdana" w:cs="Gautami"/>
          <w:sz w:val="16"/>
          <w:szCs w:val="16"/>
        </w:rPr>
        <w:t xml:space="preserve">– Motion by Freese second by Wiese to approve the Transfer Resolution.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 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7C5D5A">
        <w:rPr>
          <w:rFonts w:ascii="Verdana" w:hAnsi="Verdana" w:cs="Gautami"/>
          <w:b/>
          <w:sz w:val="16"/>
          <w:szCs w:val="16"/>
        </w:rPr>
        <w:t>GALVA CITY COMMITTEE – CAR SHOW</w:t>
      </w:r>
      <w:r>
        <w:rPr>
          <w:rFonts w:ascii="Verdana" w:hAnsi="Verdana" w:cs="Gautami"/>
          <w:sz w:val="16"/>
          <w:szCs w:val="16"/>
        </w:rPr>
        <w:t xml:space="preserve"> – Councilmember </w:t>
      </w:r>
      <w:proofErr w:type="spellStart"/>
      <w:proofErr w:type="gram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 talked</w:t>
      </w:r>
      <w:proofErr w:type="gramEnd"/>
      <w:r>
        <w:rPr>
          <w:rFonts w:ascii="Verdana" w:hAnsi="Verdana" w:cs="Gautami"/>
          <w:sz w:val="16"/>
          <w:szCs w:val="16"/>
        </w:rPr>
        <w:t xml:space="preserve"> with the council about the upcoming street dance to be held on August 22, 2020.  Upon motion by Freese second by Cunningham the City will pay for two spot-a-pots for the dance.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77829">
        <w:rPr>
          <w:rFonts w:ascii="Verdana" w:hAnsi="Verdana" w:cs="Gautami"/>
          <w:b/>
          <w:sz w:val="16"/>
          <w:szCs w:val="16"/>
        </w:rPr>
        <w:t>IN OTHER BUSINESS THE COUNCIL DISCUSSED</w:t>
      </w:r>
      <w:r>
        <w:rPr>
          <w:rFonts w:ascii="Verdana" w:hAnsi="Verdana" w:cs="Gautami"/>
          <w:sz w:val="16"/>
          <w:szCs w:val="16"/>
        </w:rPr>
        <w:t>:</w:t>
      </w:r>
    </w:p>
    <w:p w:rsidR="00705D0A" w:rsidRDefault="00705D0A" w:rsidP="00705D0A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Semi-trucks parking on city streets</w:t>
      </w:r>
    </w:p>
    <w:p w:rsidR="00705D0A" w:rsidRDefault="00705D0A" w:rsidP="00705D0A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Nuisance Properties – Follow up on Nuisance abatement properties – tree branches too low over sidewalks and streets, dogs at large</w:t>
      </w:r>
    </w:p>
    <w:p w:rsidR="00705D0A" w:rsidRDefault="00705D0A" w:rsidP="00705D0A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Rock  being dropped on Main Street</w:t>
      </w:r>
    </w:p>
    <w:p w:rsidR="00705D0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05D0A" w:rsidRPr="00595D1A" w:rsidRDefault="00705D0A" w:rsidP="00705D0A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r>
        <w:rPr>
          <w:rFonts w:ascii="Verdana" w:hAnsi="Verdana" w:cs="Gautami"/>
          <w:sz w:val="16"/>
          <w:szCs w:val="16"/>
        </w:rPr>
        <w:t>Wiese.</w:t>
      </w:r>
    </w:p>
    <w:p w:rsidR="00705D0A" w:rsidRPr="00595D1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05D0A" w:rsidRPr="005A2EB7" w:rsidRDefault="00705D0A" w:rsidP="00705D0A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 ______________________</w:t>
      </w:r>
    </w:p>
    <w:p w:rsidR="00705D0A" w:rsidRPr="005A2EB7" w:rsidRDefault="00705D0A" w:rsidP="00705D0A">
      <w:pPr>
        <w:pStyle w:val="NoSpacing"/>
        <w:ind w:left="2880" w:firstLine="720"/>
        <w:rPr>
          <w:szCs w:val="16"/>
        </w:rPr>
      </w:pPr>
      <w:r w:rsidRPr="005A2EB7">
        <w:rPr>
          <w:szCs w:val="16"/>
        </w:rPr>
        <w:t xml:space="preserve">Mayor Stan </w:t>
      </w:r>
      <w:proofErr w:type="spellStart"/>
      <w:r w:rsidRPr="005A2EB7">
        <w:rPr>
          <w:szCs w:val="16"/>
        </w:rPr>
        <w:t>Nading</w:t>
      </w:r>
      <w:proofErr w:type="spellEnd"/>
    </w:p>
    <w:p w:rsidR="00705D0A" w:rsidRPr="00595D1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:rsidR="00705D0A" w:rsidRPr="00595D1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05D0A" w:rsidRPr="00595D1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05D0A" w:rsidRPr="00595D1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:rsidR="00705D0A" w:rsidRDefault="00705D0A" w:rsidP="00705D0A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4543"/>
    <w:multiLevelType w:val="hybridMultilevel"/>
    <w:tmpl w:val="921A9882"/>
    <w:lvl w:ilvl="0" w:tplc="FB6CECBC">
      <w:numFmt w:val="bullet"/>
      <w:lvlText w:val="-"/>
      <w:lvlJc w:val="left"/>
      <w:pPr>
        <w:ind w:left="420" w:hanging="360"/>
      </w:pPr>
      <w:rPr>
        <w:rFonts w:ascii="Verdana" w:eastAsiaTheme="minorHAnsi" w:hAnsi="Verdana" w:cs="Gautam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D0A"/>
    <w:rsid w:val="00294875"/>
    <w:rsid w:val="002A3F7A"/>
    <w:rsid w:val="004A6D77"/>
    <w:rsid w:val="00705D0A"/>
    <w:rsid w:val="00744BE2"/>
    <w:rsid w:val="00846329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5D0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5D0A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705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2020-12-07T22:34:00Z</dcterms:created>
  <dcterms:modified xsi:type="dcterms:W3CDTF">2020-12-07T22:35:00Z</dcterms:modified>
</cp:coreProperties>
</file>